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DF7EF6" w:rsidRPr="00DF7EF6" w:rsidRDefault="00DF7EF6" w:rsidP="00DF7EF6">
      <w:pPr>
        <w:pStyle w:val="intro"/>
        <w:spacing w:line="420" w:lineRule="atLeast"/>
        <w:rPr>
          <w:rFonts w:asciiTheme="minorHAnsi" w:hAnsiTheme="minorHAnsi" w:cstheme="minorHAnsi"/>
          <w:b/>
          <w:bCs/>
          <w:sz w:val="27"/>
          <w:szCs w:val="27"/>
        </w:rPr>
      </w:pPr>
      <w:r w:rsidRPr="00DF7EF6">
        <w:rPr>
          <w:rStyle w:val="Fett"/>
          <w:rFonts w:asciiTheme="minorHAnsi" w:hAnsiTheme="minorHAnsi" w:cstheme="minorHAnsi"/>
          <w:sz w:val="27"/>
          <w:szCs w:val="27"/>
        </w:rPr>
        <w:t xml:space="preserve">Liebe </w:t>
      </w:r>
      <w:proofErr w:type="spellStart"/>
      <w:r w:rsidRPr="00DF7EF6">
        <w:rPr>
          <w:rStyle w:val="Fett"/>
          <w:rFonts w:asciiTheme="minorHAnsi" w:hAnsiTheme="minorHAnsi" w:cstheme="minorHAnsi"/>
          <w:sz w:val="27"/>
          <w:szCs w:val="27"/>
        </w:rPr>
        <w:t>Partner:innen</w:t>
      </w:r>
      <w:proofErr w:type="spellEnd"/>
      <w:r w:rsidRPr="00DF7EF6">
        <w:rPr>
          <w:rStyle w:val="Fett"/>
          <w:rFonts w:asciiTheme="minorHAnsi" w:hAnsiTheme="minorHAnsi" w:cstheme="minorHAnsi"/>
          <w:sz w:val="27"/>
          <w:szCs w:val="27"/>
        </w:rPr>
        <w:t xml:space="preserve"> der Lübecker Bucht,</w:t>
      </w:r>
    </w:p>
    <w:p w:rsidR="00DF7EF6" w:rsidRPr="00DF7EF6" w:rsidRDefault="00DF7EF6" w:rsidP="00DF7EF6">
      <w:pPr>
        <w:pStyle w:val="p1"/>
        <w:rPr>
          <w:rFonts w:asciiTheme="minorHAnsi" w:hAnsiTheme="minorHAnsi" w:cstheme="minorHAnsi"/>
        </w:rPr>
      </w:pPr>
      <w:r w:rsidRPr="00DF7EF6">
        <w:rPr>
          <w:rFonts w:asciiTheme="minorHAnsi" w:hAnsiTheme="minorHAnsi" w:cstheme="minorHAnsi"/>
        </w:rPr>
        <w:t>der Tourismusverband Schleswig-Holstein (TVSH) stellt in seinem jüngsten Rundschreiben eine Teststrategie vor, mit der eine zentrale Voraussetzung für sicheres Reisen in und nach Schleswig-Holstein gegeben sein soll. Als weitere wichtige und grundlegende Elemente einer Tourismusöffnung nennt der TVSH das Impfen, digitale Nachverfolgung sowie Abstands- und Hygienekonzepte.</w:t>
      </w:r>
    </w:p>
    <w:p w:rsidR="00DF7EF6" w:rsidRPr="00DF7EF6" w:rsidRDefault="00DF7EF6" w:rsidP="00DF7EF6">
      <w:pPr>
        <w:pStyle w:val="StandardWeb"/>
        <w:rPr>
          <w:rFonts w:asciiTheme="minorHAnsi" w:hAnsiTheme="minorHAnsi" w:cstheme="minorHAnsi"/>
        </w:rPr>
      </w:pPr>
      <w:r w:rsidRPr="00DF7EF6">
        <w:rPr>
          <w:rFonts w:asciiTheme="minorHAnsi" w:hAnsiTheme="minorHAnsi" w:cstheme="minorHAnsi"/>
        </w:rPr>
        <w:t xml:space="preserve">Die Doppel-Teststrategie des TVSH ist das Ergebnis einer intensiven Diskussion der Task Force Tourismus unter Leitung von Herrn Hartwig (Wirtschaftsministerium, IHK, DEHOGA, Kommunale Landesverbände, Gesundheitsministerium, Ärztegenossenschaft Nord) sowie mit einer separaten Abstimmung mit dem Klinikleiter </w:t>
      </w:r>
      <w:proofErr w:type="spellStart"/>
      <w:r w:rsidRPr="00DF7EF6">
        <w:rPr>
          <w:rFonts w:asciiTheme="minorHAnsi" w:hAnsiTheme="minorHAnsi" w:cstheme="minorHAnsi"/>
        </w:rPr>
        <w:t>Infektiologie</w:t>
      </w:r>
      <w:proofErr w:type="spellEnd"/>
      <w:r w:rsidRPr="00DF7EF6">
        <w:rPr>
          <w:rFonts w:asciiTheme="minorHAnsi" w:hAnsiTheme="minorHAnsi" w:cstheme="minorHAnsi"/>
        </w:rPr>
        <w:t xml:space="preserve"> des UKSH, Prof. Jan Rupp.</w:t>
      </w:r>
    </w:p>
    <w:p w:rsidR="00DF7EF6" w:rsidRPr="00DF7EF6" w:rsidRDefault="00DF7EF6" w:rsidP="00DF7EF6">
      <w:pPr>
        <w:pStyle w:val="StandardWeb"/>
        <w:rPr>
          <w:rFonts w:asciiTheme="minorHAnsi" w:hAnsiTheme="minorHAnsi" w:cstheme="minorHAnsi"/>
        </w:rPr>
      </w:pPr>
      <w:r w:rsidRPr="00DF7EF6">
        <w:rPr>
          <w:rFonts w:asciiTheme="minorHAnsi" w:hAnsiTheme="minorHAnsi" w:cstheme="minorHAnsi"/>
        </w:rPr>
        <w:t>Wenngleich diese Strategie keinen verbindlichen Charakter hat, möchten wir Sie Ihnen dennoch mit dieser Newsletter-Ausgabe vorstellen, da sie eine mögliche Vorgehensweise skizziert und fundierte Impulse geben kann.</w:t>
      </w:r>
    </w:p>
    <w:p w:rsidR="00DF7EF6" w:rsidRPr="00DF7EF6" w:rsidRDefault="00DF7EF6" w:rsidP="00DF7EF6">
      <w:pPr>
        <w:pStyle w:val="StandardWeb"/>
        <w:rPr>
          <w:rFonts w:asciiTheme="minorHAnsi" w:hAnsiTheme="minorHAnsi" w:cstheme="minorHAnsi"/>
        </w:rPr>
      </w:pPr>
      <w:r w:rsidRPr="00DF7EF6">
        <w:rPr>
          <w:rFonts w:asciiTheme="minorHAnsi" w:hAnsiTheme="minorHAnsi" w:cstheme="minorHAnsi"/>
        </w:rPr>
        <w:t xml:space="preserve">Die Teststrategie des TVSH können Sie in vollständiger Ausführung </w:t>
      </w:r>
      <w:hyperlink r:id="rId8" w:history="1">
        <w:r w:rsidRPr="00DF7EF6">
          <w:rPr>
            <w:rStyle w:val="Hyperlink"/>
            <w:rFonts w:asciiTheme="minorHAnsi" w:hAnsiTheme="minorHAnsi" w:cstheme="minorHAnsi"/>
          </w:rPr>
          <w:t>hier nachlesen »</w:t>
        </w:r>
      </w:hyperlink>
    </w:p>
    <w:p w:rsidR="00DF7EF6" w:rsidRPr="00DF7EF6" w:rsidRDefault="00DF7EF6" w:rsidP="00DF7EF6">
      <w:pPr>
        <w:pStyle w:val="StandardWeb"/>
        <w:rPr>
          <w:rFonts w:asciiTheme="minorHAnsi" w:hAnsiTheme="minorHAnsi" w:cstheme="minorHAnsi"/>
        </w:rPr>
      </w:pPr>
      <w:r w:rsidRPr="00DF7EF6">
        <w:rPr>
          <w:rFonts w:asciiTheme="minorHAnsi" w:hAnsiTheme="minorHAnsi" w:cstheme="minorHAnsi"/>
        </w:rPr>
        <w:t xml:space="preserve">Bleiben Sie zuversichtlich, Ihr André </w:t>
      </w:r>
      <w:proofErr w:type="spellStart"/>
      <w:r w:rsidRPr="00DF7EF6">
        <w:rPr>
          <w:rFonts w:asciiTheme="minorHAnsi" w:hAnsiTheme="minorHAnsi" w:cstheme="minorHAnsi"/>
        </w:rPr>
        <w:t>Rosinski</w:t>
      </w:r>
      <w:proofErr w:type="spellEnd"/>
    </w:p>
    <w:p w:rsidR="00DF7EF6" w:rsidRPr="00DF7EF6" w:rsidRDefault="00DF7EF6" w:rsidP="00DF7EF6">
      <w:pPr>
        <w:pStyle w:val="StandardWeb"/>
        <w:rPr>
          <w:rFonts w:asciiTheme="minorHAnsi" w:hAnsiTheme="minorHAnsi" w:cstheme="minorHAnsi"/>
        </w:rPr>
      </w:pPr>
      <w:r w:rsidRPr="00DF7EF6">
        <w:rPr>
          <w:rFonts w:asciiTheme="minorHAnsi" w:hAnsiTheme="minorHAnsi" w:cstheme="minorHAnsi"/>
        </w:rPr>
        <w:t>Vorstand der Tourismus-Agentur Lübecker Bucht</w:t>
      </w:r>
    </w:p>
    <w:p w:rsidR="00B81660" w:rsidRPr="00DF7EF6" w:rsidRDefault="00DF7EF6" w:rsidP="00DF7EF6">
      <w:pPr>
        <w:pStyle w:val="StandardWeb"/>
        <w:spacing w:before="720" w:beforeAutospacing="0" w:line="360" w:lineRule="atLeast"/>
        <w:rPr>
          <w:rFonts w:asciiTheme="minorHAnsi" w:hAnsiTheme="minorHAnsi" w:cstheme="minorHAnsi"/>
        </w:rPr>
      </w:pPr>
      <w:r w:rsidRPr="00DF7EF6">
        <w:rPr>
          <w:rFonts w:asciiTheme="minorHAnsi" w:hAnsiTheme="minorHAnsi" w:cstheme="minorHAnsi"/>
        </w:rPr>
        <w:t>Tel. +49 04503 / 7794-111 | Fax +49 04503 / 7794-200</w:t>
      </w:r>
      <w:r w:rsidRPr="00DF7EF6">
        <w:rPr>
          <w:rFonts w:asciiTheme="minorHAnsi" w:hAnsiTheme="minorHAnsi" w:cstheme="minorHAnsi"/>
        </w:rPr>
        <w:br/>
      </w:r>
      <w:hyperlink r:id="rId9" w:history="1">
        <w:r w:rsidRPr="00DF7EF6">
          <w:rPr>
            <w:rStyle w:val="Hyperlink"/>
            <w:rFonts w:asciiTheme="minorHAnsi" w:hAnsiTheme="minorHAnsi" w:cstheme="minorHAnsi"/>
          </w:rPr>
          <w:t>arosinski@luebecker-bucht-ostsee.de</w:t>
        </w:r>
      </w:hyperlink>
      <w:r w:rsidRPr="00DF7EF6">
        <w:rPr>
          <w:rFonts w:asciiTheme="minorHAnsi" w:hAnsiTheme="minorHAnsi" w:cstheme="minorHAnsi"/>
        </w:rPr>
        <w:br/>
        <w:t>www.luebecker-bucht-partner.de</w:t>
      </w:r>
      <w:r w:rsidRPr="00DF7EF6">
        <w:rPr>
          <w:rFonts w:asciiTheme="minorHAnsi" w:hAnsiTheme="minorHAnsi" w:cstheme="minorHAnsi"/>
        </w:rPr>
        <w:br/>
      </w:r>
      <w:r w:rsidRPr="00DF7EF6">
        <w:rPr>
          <w:rFonts w:asciiTheme="minorHAnsi" w:hAnsiTheme="minorHAnsi" w:cstheme="minorHAnsi"/>
        </w:rPr>
        <w:br/>
        <w:t>Tourismus-Agentur Lübecker Bucht</w:t>
      </w:r>
      <w:r w:rsidRPr="00DF7EF6">
        <w:rPr>
          <w:rFonts w:asciiTheme="minorHAnsi" w:hAnsiTheme="minorHAnsi" w:cstheme="minorHAnsi"/>
        </w:rPr>
        <w:br/>
        <w:t xml:space="preserve">D - 23683 </w:t>
      </w:r>
      <w:proofErr w:type="spellStart"/>
      <w:r w:rsidRPr="00DF7EF6">
        <w:rPr>
          <w:rFonts w:asciiTheme="minorHAnsi" w:hAnsiTheme="minorHAnsi" w:cstheme="minorHAnsi"/>
        </w:rPr>
        <w:t>Scharbeutz</w:t>
      </w:r>
      <w:proofErr w:type="spellEnd"/>
      <w:r w:rsidRPr="00DF7EF6">
        <w:rPr>
          <w:rFonts w:asciiTheme="minorHAnsi" w:hAnsiTheme="minorHAnsi" w:cstheme="minorHAnsi"/>
        </w:rPr>
        <w:t xml:space="preserve"> | Strandallee 134</w:t>
      </w:r>
      <w:r w:rsidRPr="00DF7EF6">
        <w:rPr>
          <w:rFonts w:asciiTheme="minorHAnsi" w:hAnsiTheme="minorHAnsi" w:cstheme="minorHAnsi"/>
        </w:rPr>
        <w:br/>
      </w:r>
      <w:r w:rsidRPr="00DF7EF6">
        <w:rPr>
          <w:rFonts w:asciiTheme="minorHAnsi" w:hAnsiTheme="minorHAnsi" w:cstheme="minorHAnsi"/>
        </w:rPr>
        <w:br/>
        <w:t xml:space="preserve">Die Tourismus-Agentur Lübecker Bucht ist eine Anstalt öffentlichen Rechts der Stadt Neustadt in Holstein und der Gemeinden </w:t>
      </w:r>
      <w:proofErr w:type="spellStart"/>
      <w:r w:rsidRPr="00DF7EF6">
        <w:rPr>
          <w:rFonts w:asciiTheme="minorHAnsi" w:hAnsiTheme="minorHAnsi" w:cstheme="minorHAnsi"/>
        </w:rPr>
        <w:t>Scharbeutz</w:t>
      </w:r>
      <w:proofErr w:type="spellEnd"/>
      <w:r w:rsidRPr="00DF7EF6">
        <w:rPr>
          <w:rFonts w:asciiTheme="minorHAnsi" w:hAnsiTheme="minorHAnsi" w:cstheme="minorHAnsi"/>
        </w:rPr>
        <w:t xml:space="preserve"> und </w:t>
      </w:r>
      <w:proofErr w:type="spellStart"/>
      <w:r w:rsidRPr="00DF7EF6">
        <w:rPr>
          <w:rFonts w:asciiTheme="minorHAnsi" w:hAnsiTheme="minorHAnsi" w:cstheme="minorHAnsi"/>
        </w:rPr>
        <w:t>Sierksdorf</w:t>
      </w:r>
      <w:proofErr w:type="spellEnd"/>
      <w:r w:rsidRPr="00DF7EF6">
        <w:rPr>
          <w:rFonts w:asciiTheme="minorHAnsi" w:hAnsiTheme="minorHAnsi" w:cstheme="minorHAnsi"/>
        </w:rPr>
        <w:t>.</w:t>
      </w:r>
      <w:r w:rsidRPr="00DF7EF6">
        <w:rPr>
          <w:rFonts w:asciiTheme="minorHAnsi" w:hAnsiTheme="minorHAnsi" w:cstheme="minorHAnsi"/>
        </w:rPr>
        <w:br/>
      </w:r>
      <w:r w:rsidRPr="00DF7EF6">
        <w:rPr>
          <w:rFonts w:asciiTheme="minorHAnsi" w:hAnsiTheme="minorHAnsi" w:cstheme="minorHAnsi"/>
        </w:rPr>
        <w:br/>
        <w:t xml:space="preserve">Vorstand: André </w:t>
      </w:r>
      <w:proofErr w:type="spellStart"/>
      <w:r w:rsidRPr="00DF7EF6">
        <w:rPr>
          <w:rFonts w:asciiTheme="minorHAnsi" w:hAnsiTheme="minorHAnsi" w:cstheme="minorHAnsi"/>
        </w:rPr>
        <w:t>Rosinski</w:t>
      </w:r>
      <w:proofErr w:type="spellEnd"/>
      <w:r w:rsidRPr="00DF7EF6">
        <w:rPr>
          <w:rFonts w:asciiTheme="minorHAnsi" w:hAnsiTheme="minorHAnsi" w:cstheme="minorHAnsi"/>
        </w:rPr>
        <w:t xml:space="preserve"> | Steuer-Nr. 22/299/03043 | </w:t>
      </w:r>
      <w:proofErr w:type="spellStart"/>
      <w:r w:rsidRPr="00DF7EF6">
        <w:rPr>
          <w:rFonts w:asciiTheme="minorHAnsi" w:hAnsiTheme="minorHAnsi" w:cstheme="minorHAnsi"/>
        </w:rPr>
        <w:t>USt-IDNr</w:t>
      </w:r>
      <w:proofErr w:type="spellEnd"/>
      <w:r w:rsidRPr="00DF7EF6">
        <w:rPr>
          <w:rFonts w:asciiTheme="minorHAnsi" w:hAnsiTheme="minorHAnsi" w:cstheme="minorHAnsi"/>
        </w:rPr>
        <w:t>. DE289111337</w:t>
      </w:r>
    </w:p>
    <w:sectPr w:rsidR="00B81660" w:rsidRPr="00DF7EF6"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EB" w:rsidRDefault="003301EB" w:rsidP="003C7394">
      <w:pPr>
        <w:spacing w:after="0" w:line="240" w:lineRule="auto"/>
      </w:pPr>
      <w:r>
        <w:separator/>
      </w:r>
    </w:p>
  </w:endnote>
  <w:endnote w:type="continuationSeparator" w:id="0">
    <w:p w:rsidR="003301EB" w:rsidRDefault="003301E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EB" w:rsidRDefault="003301EB" w:rsidP="003C7394">
      <w:pPr>
        <w:spacing w:after="0" w:line="240" w:lineRule="auto"/>
      </w:pPr>
      <w:r>
        <w:separator/>
      </w:r>
    </w:p>
  </w:footnote>
  <w:footnote w:type="continuationSeparator" w:id="0">
    <w:p w:rsidR="003301EB" w:rsidRDefault="003301E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F7EF6">
      <w:rPr>
        <w:b/>
        <w:color w:val="FF0000"/>
      </w:rPr>
      <w:t>19</w:t>
    </w:r>
    <w:r w:rsidR="00B81660">
      <w:rPr>
        <w:b/>
        <w:color w:val="FF0000"/>
      </w:rPr>
      <w:t>.03</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24"/>
  </w:num>
  <w:num w:numId="5">
    <w:abstractNumId w:val="22"/>
  </w:num>
  <w:num w:numId="6">
    <w:abstractNumId w:val="9"/>
  </w:num>
  <w:num w:numId="7">
    <w:abstractNumId w:val="21"/>
  </w:num>
  <w:num w:numId="8">
    <w:abstractNumId w:val="17"/>
  </w:num>
  <w:num w:numId="9">
    <w:abstractNumId w:val="15"/>
  </w:num>
  <w:num w:numId="10">
    <w:abstractNumId w:val="28"/>
  </w:num>
  <w:num w:numId="11">
    <w:abstractNumId w:val="13"/>
  </w:num>
  <w:num w:numId="12">
    <w:abstractNumId w:val="8"/>
  </w:num>
  <w:num w:numId="13">
    <w:abstractNumId w:val="4"/>
  </w:num>
  <w:num w:numId="14">
    <w:abstractNumId w:val="27"/>
  </w:num>
  <w:num w:numId="15">
    <w:abstractNumId w:val="26"/>
  </w:num>
  <w:num w:numId="16">
    <w:abstractNumId w:val="7"/>
  </w:num>
  <w:num w:numId="17">
    <w:abstractNumId w:val="19"/>
  </w:num>
  <w:num w:numId="18">
    <w:abstractNumId w:val="20"/>
  </w:num>
  <w:num w:numId="19">
    <w:abstractNumId w:val="16"/>
  </w:num>
  <w:num w:numId="20">
    <w:abstractNumId w:val="2"/>
  </w:num>
  <w:num w:numId="21">
    <w:abstractNumId w:val="5"/>
  </w:num>
  <w:num w:numId="22">
    <w:abstractNumId w:val="11"/>
  </w:num>
  <w:num w:numId="23">
    <w:abstractNumId w:val="0"/>
  </w:num>
  <w:num w:numId="24">
    <w:abstractNumId w:val="23"/>
  </w:num>
  <w:num w:numId="25">
    <w:abstractNumId w:val="6"/>
  </w:num>
  <w:num w:numId="26">
    <w:abstractNumId w:val="18"/>
  </w:num>
  <w:num w:numId="27">
    <w:abstractNumId w:val="25"/>
  </w:num>
  <w:num w:numId="28">
    <w:abstractNumId w:val="1"/>
  </w:num>
  <w:num w:numId="29">
    <w:abstractNumId w:val="14"/>
  </w:num>
  <w:num w:numId="30">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182E"/>
    <w:rsid w:val="002B3466"/>
    <w:rsid w:val="002F34FF"/>
    <w:rsid w:val="00301115"/>
    <w:rsid w:val="003301EB"/>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65469"/>
    <w:rsid w:val="0077647A"/>
    <w:rsid w:val="0078047B"/>
    <w:rsid w:val="007819A0"/>
    <w:rsid w:val="00781AD7"/>
    <w:rsid w:val="007A0A35"/>
    <w:rsid w:val="007E015B"/>
    <w:rsid w:val="007F2538"/>
    <w:rsid w:val="0080298A"/>
    <w:rsid w:val="00833DE9"/>
    <w:rsid w:val="008473CA"/>
    <w:rsid w:val="0085416B"/>
    <w:rsid w:val="008A4D07"/>
    <w:rsid w:val="008B1B34"/>
    <w:rsid w:val="008F222A"/>
    <w:rsid w:val="009300CE"/>
    <w:rsid w:val="00954793"/>
    <w:rsid w:val="00963ABD"/>
    <w:rsid w:val="00990D28"/>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DF7EF6"/>
    <w:rsid w:val="00E032B8"/>
    <w:rsid w:val="00E15FE9"/>
    <w:rsid w:val="00E37CA9"/>
    <w:rsid w:val="00E416FC"/>
    <w:rsid w:val="00E73B21"/>
    <w:rsid w:val="00E82887"/>
    <w:rsid w:val="00E978F8"/>
    <w:rsid w:val="00EC2E9D"/>
    <w:rsid w:val="00F0788C"/>
    <w:rsid w:val="00F152BC"/>
    <w:rsid w:val="00F21708"/>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947533/9804e1394-qq81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1487</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2021-03-27T11:00:00Z</dcterms:created>
  <dcterms:modified xsi:type="dcterms:W3CDTF">2021-03-27T11:00:00Z</dcterms:modified>
</cp:coreProperties>
</file>