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D11C00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D11C00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3B" w:rsidRPr="00F51E3B" w:rsidRDefault="00F51E3B" w:rsidP="00F51E3B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F51E3B">
        <w:rPr>
          <w:rFonts w:asciiTheme="minorHAnsi" w:hAnsiTheme="minorHAnsi" w:cstheme="minorHAnsi"/>
          <w:b/>
          <w:bCs/>
          <w:sz w:val="27"/>
          <w:szCs w:val="27"/>
        </w:rPr>
        <w:t>Liebe Partner der Lübecker Bucht,</w:t>
      </w:r>
    </w:p>
    <w:p w:rsidR="00F51E3B" w:rsidRPr="00F51E3B" w:rsidRDefault="00F51E3B" w:rsidP="00F51E3B">
      <w:pPr>
        <w:pStyle w:val="StandardWeb"/>
        <w:rPr>
          <w:rFonts w:asciiTheme="minorHAnsi" w:hAnsiTheme="minorHAnsi" w:cstheme="minorHAnsi"/>
        </w:rPr>
      </w:pPr>
      <w:r w:rsidRPr="00F51E3B">
        <w:rPr>
          <w:rStyle w:val="Fett"/>
          <w:rFonts w:asciiTheme="minorHAnsi" w:hAnsiTheme="minorHAnsi" w:cstheme="minorHAnsi"/>
        </w:rPr>
        <w:t>gestern Abend</w:t>
      </w:r>
      <w:r>
        <w:rPr>
          <w:rStyle w:val="Fett"/>
          <w:rFonts w:asciiTheme="minorHAnsi" w:hAnsiTheme="minorHAnsi" w:cstheme="minorHAnsi"/>
        </w:rPr>
        <w:t xml:space="preserve"> (23.10.2020)</w:t>
      </w:r>
      <w:r w:rsidRPr="00F51E3B">
        <w:rPr>
          <w:rStyle w:val="Fett"/>
          <w:rFonts w:asciiTheme="minorHAnsi" w:hAnsiTheme="minorHAnsi" w:cstheme="minorHAnsi"/>
        </w:rPr>
        <w:t xml:space="preserve"> berichteten die Nachrichtensender darüber, dass das Oberverwaltungsgericht in Schleswig das sogenannte Beherbergungsverbot für Touristen aus Corona-</w:t>
      </w:r>
      <w:proofErr w:type="spellStart"/>
      <w:r w:rsidRPr="00F51E3B">
        <w:rPr>
          <w:rStyle w:val="Fett"/>
          <w:rFonts w:asciiTheme="minorHAnsi" w:hAnsiTheme="minorHAnsi" w:cstheme="minorHAnsi"/>
        </w:rPr>
        <w:t>Hotspots</w:t>
      </w:r>
      <w:proofErr w:type="spellEnd"/>
      <w:r w:rsidRPr="00F51E3B">
        <w:rPr>
          <w:rStyle w:val="Fett"/>
          <w:rFonts w:asciiTheme="minorHAnsi" w:hAnsiTheme="minorHAnsi" w:cstheme="minorHAnsi"/>
        </w:rPr>
        <w:t xml:space="preserve"> gekippt hat.</w:t>
      </w:r>
    </w:p>
    <w:p w:rsidR="00F51E3B" w:rsidRPr="00F51E3B" w:rsidRDefault="00F51E3B" w:rsidP="00F51E3B">
      <w:pPr>
        <w:pStyle w:val="StandardWeb"/>
        <w:rPr>
          <w:rFonts w:asciiTheme="minorHAnsi" w:hAnsiTheme="minorHAnsi" w:cstheme="minorHAnsi"/>
        </w:rPr>
      </w:pPr>
      <w:r w:rsidRPr="00F51E3B">
        <w:rPr>
          <w:rFonts w:asciiTheme="minorHAnsi" w:hAnsiTheme="minorHAnsi" w:cstheme="minorHAnsi"/>
        </w:rPr>
        <w:t xml:space="preserve">Außerdem ist eine aktualisierte Landesverordnung zur Bekämpfung des </w:t>
      </w:r>
      <w:proofErr w:type="spellStart"/>
      <w:r w:rsidRPr="00F51E3B">
        <w:rPr>
          <w:rFonts w:asciiTheme="minorHAnsi" w:hAnsiTheme="minorHAnsi" w:cstheme="minorHAnsi"/>
        </w:rPr>
        <w:t>Coronavirus</w:t>
      </w:r>
      <w:proofErr w:type="spellEnd"/>
      <w:r w:rsidRPr="00F51E3B">
        <w:rPr>
          <w:rFonts w:asciiTheme="minorHAnsi" w:hAnsiTheme="minorHAnsi" w:cstheme="minorHAnsi"/>
        </w:rPr>
        <w:t xml:space="preserve"> heute in Kraft getreten. Auf beide Punkte gehen wir im Folgenden kompakt ein.</w:t>
      </w:r>
    </w:p>
    <w:p w:rsidR="00F51E3B" w:rsidRPr="00F51E3B" w:rsidRDefault="00F51E3B" w:rsidP="00F51E3B">
      <w:pPr>
        <w:pStyle w:val="StandardWeb"/>
        <w:rPr>
          <w:rFonts w:asciiTheme="minorHAnsi" w:hAnsiTheme="minorHAnsi" w:cstheme="minorHAnsi"/>
        </w:rPr>
      </w:pPr>
      <w:r w:rsidRPr="00F51E3B">
        <w:rPr>
          <w:rStyle w:val="Fett"/>
          <w:rFonts w:asciiTheme="minorHAnsi" w:hAnsiTheme="minorHAnsi" w:cstheme="minorHAnsi"/>
        </w:rPr>
        <w:t>Ab sofort: Urlaub in ganz Schleswig-Holstein auch ohne negativen Test wieder möglich</w:t>
      </w:r>
    </w:p>
    <w:p w:rsidR="00F51E3B" w:rsidRPr="00F51E3B" w:rsidRDefault="00F51E3B" w:rsidP="00F51E3B">
      <w:pPr>
        <w:pStyle w:val="StandardWeb"/>
        <w:rPr>
          <w:rFonts w:asciiTheme="minorHAnsi" w:hAnsiTheme="minorHAnsi" w:cstheme="minorHAnsi"/>
        </w:rPr>
      </w:pPr>
      <w:r w:rsidRPr="00F51E3B">
        <w:rPr>
          <w:rStyle w:val="Hervorhebung"/>
          <w:rFonts w:asciiTheme="minorHAnsi" w:hAnsiTheme="minorHAnsi" w:cstheme="minorHAnsi"/>
        </w:rPr>
        <w:t xml:space="preserve">Quelle: </w:t>
      </w:r>
      <w:hyperlink r:id="rId8" w:history="1">
        <w:r w:rsidRPr="00F51E3B">
          <w:rPr>
            <w:rStyle w:val="Hyperlink"/>
            <w:rFonts w:asciiTheme="minorHAnsi" w:hAnsiTheme="minorHAnsi" w:cstheme="minorHAnsi"/>
            <w:i/>
            <w:iCs/>
          </w:rPr>
          <w:t>www.ndr.de/nachrichten/schleswig-holstein/coronavirus/OVG-kippt-Beherbergungsverbot-in-Schleswig-Holstein,beherbergungsverbot138.html</w:t>
        </w:r>
      </w:hyperlink>
    </w:p>
    <w:p w:rsidR="00F51E3B" w:rsidRPr="00F51E3B" w:rsidRDefault="00F51E3B" w:rsidP="00F51E3B">
      <w:pPr>
        <w:numPr>
          <w:ilvl w:val="0"/>
          <w:numId w:val="48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 xml:space="preserve">Das Gericht in Schleswig (Kreis Schleswig-Flensburg) stufte die Regelung zum </w:t>
      </w:r>
      <w:proofErr w:type="spellStart"/>
      <w:r w:rsidRPr="00F51E3B">
        <w:rPr>
          <w:rFonts w:cstheme="minorHAnsi"/>
        </w:rPr>
        <w:t>Coronatest</w:t>
      </w:r>
      <w:proofErr w:type="spellEnd"/>
      <w:r w:rsidRPr="00F51E3B">
        <w:rPr>
          <w:rFonts w:cstheme="minorHAnsi"/>
        </w:rPr>
        <w:t xml:space="preserve"> für Urlauber am Freitag, 23.10.2020, als rechtswidrig ein. Es erklärte die Regelung in einem Eilverfahren für außer Vollzug gesetzt, bis eine Entscheidung in der Hauptsache getroffen ist.</w:t>
      </w:r>
    </w:p>
    <w:p w:rsidR="00F51E3B" w:rsidRPr="00F51E3B" w:rsidRDefault="00F51E3B" w:rsidP="00F51E3B">
      <w:pPr>
        <w:numPr>
          <w:ilvl w:val="0"/>
          <w:numId w:val="48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>Begründet haben die Richter die Entscheidung damit, die Beherbergungsbetriebe vor schweren wirtschaftlichen Nachteilen schützen zu wollen.</w:t>
      </w:r>
    </w:p>
    <w:p w:rsidR="00F51E3B" w:rsidRPr="00F51E3B" w:rsidRDefault="00F51E3B" w:rsidP="00F51E3B">
      <w:pPr>
        <w:numPr>
          <w:ilvl w:val="0"/>
          <w:numId w:val="48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>Da das Beherbergungsverbot nur für Touristen gelte (für Geschäftsreisende und Tagesgäste gelten keine Einschränkungen), kann außerdem ein Verstoß gegen das Recht auf Gleichbehandlung vorliegen.</w:t>
      </w:r>
    </w:p>
    <w:p w:rsidR="00F51E3B" w:rsidRPr="00F51E3B" w:rsidRDefault="00F51E3B" w:rsidP="00F51E3B">
      <w:pPr>
        <w:numPr>
          <w:ilvl w:val="0"/>
          <w:numId w:val="48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>Für Urlauber heißt das ab sofort: Sie können sich auf die Entscheidung des Oberverwaltungsgerichts berufen und auch ohne negativen Corona-Test in Schleswig-Holstein Urlaub machen.</w:t>
      </w:r>
    </w:p>
    <w:p w:rsidR="00F51E3B" w:rsidRPr="00F51E3B" w:rsidRDefault="00F51E3B" w:rsidP="00F51E3B">
      <w:pPr>
        <w:numPr>
          <w:ilvl w:val="0"/>
          <w:numId w:val="48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>Anfang der Woche will die Landesregierung über die Konsequenzen dieser Entscheidung diskutieren.</w:t>
      </w:r>
    </w:p>
    <w:p w:rsidR="00F51E3B" w:rsidRPr="00F51E3B" w:rsidRDefault="00F51E3B" w:rsidP="00F51E3B">
      <w:pPr>
        <w:pStyle w:val="StandardWeb"/>
        <w:rPr>
          <w:rFonts w:asciiTheme="minorHAnsi" w:hAnsiTheme="minorHAnsi" w:cstheme="minorHAnsi"/>
        </w:rPr>
      </w:pPr>
      <w:r w:rsidRPr="00F51E3B">
        <w:rPr>
          <w:rStyle w:val="Fett"/>
          <w:rFonts w:asciiTheme="minorHAnsi" w:hAnsiTheme="minorHAnsi" w:cstheme="minorHAnsi"/>
        </w:rPr>
        <w:t>Aktualisierte Landesverordnung</w:t>
      </w:r>
    </w:p>
    <w:p w:rsidR="00F51E3B" w:rsidRPr="00F51E3B" w:rsidRDefault="00F51E3B" w:rsidP="00F51E3B">
      <w:pPr>
        <w:pStyle w:val="StandardWeb"/>
        <w:rPr>
          <w:rFonts w:asciiTheme="minorHAnsi" w:hAnsiTheme="minorHAnsi" w:cstheme="minorHAnsi"/>
        </w:rPr>
      </w:pPr>
      <w:r w:rsidRPr="00F51E3B">
        <w:rPr>
          <w:rStyle w:val="Hervorhebung"/>
          <w:rFonts w:asciiTheme="minorHAnsi" w:hAnsiTheme="minorHAnsi" w:cstheme="minorHAnsi"/>
        </w:rPr>
        <w:t xml:space="preserve">Quelle: TVSH-Rundschreiben 82 zur </w:t>
      </w:r>
      <w:proofErr w:type="spellStart"/>
      <w:r w:rsidRPr="00F51E3B">
        <w:rPr>
          <w:rStyle w:val="Hervorhebung"/>
          <w:rFonts w:asciiTheme="minorHAnsi" w:hAnsiTheme="minorHAnsi" w:cstheme="minorHAnsi"/>
        </w:rPr>
        <w:t>Coronakrise</w:t>
      </w:r>
      <w:proofErr w:type="spellEnd"/>
      <w:r w:rsidRPr="00F51E3B">
        <w:rPr>
          <w:rStyle w:val="Hervorhebung"/>
          <w:rFonts w:asciiTheme="minorHAnsi" w:hAnsiTheme="minorHAnsi" w:cstheme="minorHAnsi"/>
        </w:rPr>
        <w:t xml:space="preserve"> vom 23.10.2020</w:t>
      </w:r>
    </w:p>
    <w:p w:rsidR="00F51E3B" w:rsidRPr="00F51E3B" w:rsidRDefault="00F51E3B" w:rsidP="00F51E3B">
      <w:pPr>
        <w:numPr>
          <w:ilvl w:val="0"/>
          <w:numId w:val="49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 xml:space="preserve">Seit heute, Samstag, 24.10.2020, ist die aktualisierte Landesverordnung zur Bekämpfung des </w:t>
      </w:r>
      <w:proofErr w:type="spellStart"/>
      <w:r w:rsidRPr="00F51E3B">
        <w:rPr>
          <w:rFonts w:cstheme="minorHAnsi"/>
        </w:rPr>
        <w:t>Coronavirus</w:t>
      </w:r>
      <w:proofErr w:type="spellEnd"/>
      <w:r w:rsidRPr="00F51E3B">
        <w:rPr>
          <w:rFonts w:cstheme="minorHAnsi"/>
        </w:rPr>
        <w:t xml:space="preserve"> in Kraft getreten.</w:t>
      </w:r>
    </w:p>
    <w:p w:rsidR="00F51E3B" w:rsidRPr="00F51E3B" w:rsidRDefault="00F51E3B" w:rsidP="00F51E3B">
      <w:pPr>
        <w:numPr>
          <w:ilvl w:val="0"/>
          <w:numId w:val="49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>Unter anderem wurde die Regelung zur Maskenpflicht verschärft.</w:t>
      </w:r>
    </w:p>
    <w:p w:rsidR="00F51E3B" w:rsidRPr="00F51E3B" w:rsidRDefault="00F51E3B" w:rsidP="00F51E3B">
      <w:pPr>
        <w:numPr>
          <w:ilvl w:val="0"/>
          <w:numId w:val="49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>U. a. in folgenden Bereichen besteht nun eine Pflicht zum Tragen einer Mund-Nasen-Bedeckung:</w:t>
      </w:r>
    </w:p>
    <w:p w:rsidR="00F51E3B" w:rsidRPr="00F51E3B" w:rsidRDefault="00F51E3B" w:rsidP="00F51E3B">
      <w:pPr>
        <w:numPr>
          <w:ilvl w:val="0"/>
          <w:numId w:val="49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>In Gaststätten für Gäste und dort Beschäftigte in Bereichen mit Publikumsverkehr innerhalb und außerhalb geschlossener Räume, ausgenommen sind die Gäste während des Aufenthaltes an ihren festen Steh- oder Sitzplätzen.</w:t>
      </w:r>
    </w:p>
    <w:p w:rsidR="00F51E3B" w:rsidRPr="00F51E3B" w:rsidRDefault="00F51E3B" w:rsidP="00F51E3B">
      <w:pPr>
        <w:numPr>
          <w:ilvl w:val="0"/>
          <w:numId w:val="49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>Für Beschäftigte in Verkaufs- und Warenausgabestellen des Einzelhandels, in abgeschlossenen Verkaufsständen und in überdachten Verkehrsflächen von Einkaufszentren in den Bereichen mit Publikumsverkehr.</w:t>
      </w:r>
    </w:p>
    <w:p w:rsidR="00F51E3B" w:rsidRPr="00F51E3B" w:rsidRDefault="00F51E3B" w:rsidP="00F51E3B">
      <w:pPr>
        <w:numPr>
          <w:ilvl w:val="0"/>
          <w:numId w:val="49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lastRenderedPageBreak/>
        <w:t xml:space="preserve">Auf Wochenmärkten für </w:t>
      </w:r>
      <w:proofErr w:type="spellStart"/>
      <w:r w:rsidRPr="00F51E3B">
        <w:rPr>
          <w:rFonts w:cstheme="minorHAnsi"/>
        </w:rPr>
        <w:t>Marktbeschicker</w:t>
      </w:r>
      <w:proofErr w:type="spellEnd"/>
      <w:r w:rsidRPr="00F51E3B">
        <w:rPr>
          <w:rFonts w:cstheme="minorHAnsi"/>
        </w:rPr>
        <w:t xml:space="preserve"> (= das Verkaufspersonal) als auch für Kundinnen und Kunden.</w:t>
      </w:r>
    </w:p>
    <w:p w:rsidR="00F51E3B" w:rsidRPr="00F51E3B" w:rsidRDefault="00F51E3B" w:rsidP="00F51E3B">
      <w:pPr>
        <w:numPr>
          <w:ilvl w:val="0"/>
          <w:numId w:val="49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F51E3B">
        <w:rPr>
          <w:rFonts w:cstheme="minorHAnsi"/>
        </w:rPr>
        <w:t>Neu geregelt wird außerdem, dass das Tragen eines Kunststoffvisieres (sogenannte Face Shields) zur Erfüllung der Pflicht zur Mund-Nasen-Bedeckung nicht mehr ausreicht.</w:t>
      </w:r>
    </w:p>
    <w:p w:rsidR="00F51E3B" w:rsidRPr="00F51E3B" w:rsidRDefault="00F51E3B" w:rsidP="00F51E3B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cstheme="minorHAnsi"/>
        </w:rPr>
      </w:pPr>
      <w:r w:rsidRPr="00F51E3B">
        <w:rPr>
          <w:rFonts w:cstheme="minorHAnsi"/>
        </w:rPr>
        <w:t xml:space="preserve">Unter §17 (Beherbergungsbetriebe) wird in der Landesverordnung noch auf den </w:t>
      </w:r>
      <w:proofErr w:type="spellStart"/>
      <w:r w:rsidRPr="00F51E3B">
        <w:rPr>
          <w:rFonts w:cstheme="minorHAnsi"/>
        </w:rPr>
        <w:t>Coronatest</w:t>
      </w:r>
      <w:proofErr w:type="spellEnd"/>
      <w:r w:rsidRPr="00F51E3B">
        <w:rPr>
          <w:rFonts w:cstheme="minorHAnsi"/>
        </w:rPr>
        <w:t xml:space="preserve"> hingewiesen. Diese Regelung ist jedoch, wie oben aufgeführt, vorläufig außer Vollzug gesetzt.</w:t>
      </w:r>
    </w:p>
    <w:p w:rsidR="00F51E3B" w:rsidRPr="00F51E3B" w:rsidRDefault="00F51E3B" w:rsidP="00F51E3B">
      <w:pPr>
        <w:pStyle w:val="StandardWeb"/>
        <w:rPr>
          <w:rFonts w:asciiTheme="minorHAnsi" w:hAnsiTheme="minorHAnsi" w:cstheme="minorHAnsi"/>
        </w:rPr>
      </w:pPr>
      <w:r w:rsidRPr="00F51E3B">
        <w:rPr>
          <w:rStyle w:val="Hervorhebung"/>
          <w:rFonts w:asciiTheme="minorHAnsi" w:hAnsiTheme="minorHAnsi" w:cstheme="minorHAnsi"/>
        </w:rPr>
        <w:t xml:space="preserve">Hier der Link zur aktualisierten Landesverordnung: </w:t>
      </w:r>
      <w:hyperlink r:id="rId9" w:history="1">
        <w:r w:rsidRPr="00F51E3B">
          <w:rPr>
            <w:rStyle w:val="Hyperlink"/>
            <w:rFonts w:asciiTheme="minorHAnsi" w:hAnsiTheme="minorHAnsi" w:cstheme="minorHAnsi"/>
            <w:i/>
            <w:iCs/>
          </w:rPr>
          <w:t>www.schleswig-holstein.de/DE/Schwerpunkte/Coronavirus/Erlasse/20108_LF_Landesverordnung_Corona.html</w:t>
        </w:r>
      </w:hyperlink>
    </w:p>
    <w:p w:rsidR="00F51E3B" w:rsidRPr="00F51E3B" w:rsidRDefault="00F51E3B" w:rsidP="00F51E3B">
      <w:pPr>
        <w:pStyle w:val="StandardWeb"/>
        <w:rPr>
          <w:rFonts w:asciiTheme="minorHAnsi" w:hAnsiTheme="minorHAnsi" w:cstheme="minorHAnsi"/>
        </w:rPr>
      </w:pPr>
      <w:r w:rsidRPr="00F51E3B">
        <w:rPr>
          <w:rFonts w:asciiTheme="minorHAnsi" w:hAnsiTheme="minorHAnsi" w:cstheme="minorHAnsi"/>
        </w:rPr>
        <w:t xml:space="preserve">Bleiben Sie gesund, Ihr André </w:t>
      </w:r>
      <w:proofErr w:type="spellStart"/>
      <w:r w:rsidRPr="00F51E3B">
        <w:rPr>
          <w:rFonts w:asciiTheme="minorHAnsi" w:hAnsiTheme="minorHAnsi" w:cstheme="minorHAnsi"/>
        </w:rPr>
        <w:t>Rosinski</w:t>
      </w:r>
      <w:proofErr w:type="spellEnd"/>
    </w:p>
    <w:p w:rsidR="00F51E3B" w:rsidRPr="00F51E3B" w:rsidRDefault="00F51E3B" w:rsidP="00F51E3B">
      <w:pPr>
        <w:pStyle w:val="StandardWeb"/>
        <w:rPr>
          <w:rFonts w:asciiTheme="minorHAnsi" w:hAnsiTheme="minorHAnsi" w:cstheme="minorHAnsi"/>
        </w:rPr>
      </w:pPr>
      <w:r w:rsidRPr="00F51E3B">
        <w:rPr>
          <w:rFonts w:asciiTheme="minorHAnsi" w:hAnsiTheme="minorHAnsi" w:cstheme="minorHAnsi"/>
        </w:rPr>
        <w:t>Vorstand der Tourismus-Agentur Lübecker Bucht</w:t>
      </w:r>
    </w:p>
    <w:p w:rsidR="00F51E3B" w:rsidRPr="00F51E3B" w:rsidRDefault="00F51E3B" w:rsidP="00F51E3B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F51E3B">
        <w:rPr>
          <w:rFonts w:asciiTheme="minorHAnsi" w:hAnsiTheme="minorHAnsi" w:cstheme="minorHAnsi"/>
        </w:rPr>
        <w:t>Tel. +49 04503 / 7794-111 | Fax +49 04503 / 7794-200</w:t>
      </w:r>
      <w:r w:rsidRPr="00F51E3B">
        <w:rPr>
          <w:rFonts w:asciiTheme="minorHAnsi" w:hAnsiTheme="minorHAnsi" w:cstheme="minorHAnsi"/>
        </w:rPr>
        <w:br/>
      </w:r>
      <w:hyperlink r:id="rId10" w:history="1">
        <w:r w:rsidRPr="00F51E3B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F51E3B">
        <w:rPr>
          <w:rFonts w:asciiTheme="minorHAnsi" w:hAnsiTheme="minorHAnsi" w:cstheme="minorHAnsi"/>
        </w:rPr>
        <w:br/>
      </w:r>
      <w:hyperlink r:id="rId11" w:history="1">
        <w:r w:rsidRPr="00F51E3B">
          <w:rPr>
            <w:rStyle w:val="Hyperlink"/>
            <w:rFonts w:asciiTheme="minorHAnsi" w:hAnsiTheme="minorHAnsi" w:cstheme="minorHAnsi"/>
          </w:rPr>
          <w:t>www.luebecker-bucht-partner.de</w:t>
        </w:r>
      </w:hyperlink>
      <w:r w:rsidRPr="00F51E3B">
        <w:rPr>
          <w:rFonts w:asciiTheme="minorHAnsi" w:hAnsiTheme="minorHAnsi" w:cstheme="minorHAnsi"/>
        </w:rPr>
        <w:br/>
      </w:r>
      <w:r w:rsidRPr="00F51E3B">
        <w:rPr>
          <w:rFonts w:asciiTheme="minorHAnsi" w:hAnsiTheme="minorHAnsi" w:cstheme="minorHAnsi"/>
        </w:rPr>
        <w:br/>
        <w:t>Tourismus-Agentur Lübecker Bucht</w:t>
      </w:r>
      <w:r w:rsidRPr="00F51E3B">
        <w:rPr>
          <w:rFonts w:asciiTheme="minorHAnsi" w:hAnsiTheme="minorHAnsi" w:cstheme="minorHAnsi"/>
        </w:rPr>
        <w:br/>
        <w:t xml:space="preserve">D - 23683 </w:t>
      </w:r>
      <w:proofErr w:type="spellStart"/>
      <w:r w:rsidRPr="00F51E3B">
        <w:rPr>
          <w:rFonts w:asciiTheme="minorHAnsi" w:hAnsiTheme="minorHAnsi" w:cstheme="minorHAnsi"/>
        </w:rPr>
        <w:t>Scharbeutz</w:t>
      </w:r>
      <w:proofErr w:type="spellEnd"/>
      <w:r w:rsidRPr="00F51E3B">
        <w:rPr>
          <w:rFonts w:asciiTheme="minorHAnsi" w:hAnsiTheme="minorHAnsi" w:cstheme="minorHAnsi"/>
        </w:rPr>
        <w:t xml:space="preserve"> | Strandallee 134</w:t>
      </w:r>
      <w:r w:rsidRPr="00F51E3B">
        <w:rPr>
          <w:rFonts w:asciiTheme="minorHAnsi" w:hAnsiTheme="minorHAnsi" w:cstheme="minorHAnsi"/>
        </w:rPr>
        <w:br/>
      </w:r>
      <w:r w:rsidRPr="00F51E3B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F51E3B">
        <w:rPr>
          <w:rFonts w:asciiTheme="minorHAnsi" w:hAnsiTheme="minorHAnsi" w:cstheme="minorHAnsi"/>
        </w:rPr>
        <w:t>Scharbeutz</w:t>
      </w:r>
      <w:proofErr w:type="spellEnd"/>
      <w:r w:rsidRPr="00F51E3B">
        <w:rPr>
          <w:rFonts w:asciiTheme="minorHAnsi" w:hAnsiTheme="minorHAnsi" w:cstheme="minorHAnsi"/>
        </w:rPr>
        <w:t xml:space="preserve"> und </w:t>
      </w:r>
      <w:proofErr w:type="spellStart"/>
      <w:r w:rsidRPr="00F51E3B">
        <w:rPr>
          <w:rFonts w:asciiTheme="minorHAnsi" w:hAnsiTheme="minorHAnsi" w:cstheme="minorHAnsi"/>
        </w:rPr>
        <w:t>Sierksdorf</w:t>
      </w:r>
      <w:proofErr w:type="spellEnd"/>
      <w:r w:rsidRPr="00F51E3B">
        <w:rPr>
          <w:rFonts w:asciiTheme="minorHAnsi" w:hAnsiTheme="minorHAnsi" w:cstheme="minorHAnsi"/>
        </w:rPr>
        <w:t>.</w:t>
      </w:r>
      <w:r w:rsidRPr="00F51E3B">
        <w:rPr>
          <w:rFonts w:asciiTheme="minorHAnsi" w:hAnsiTheme="minorHAnsi" w:cstheme="minorHAnsi"/>
        </w:rPr>
        <w:br/>
      </w:r>
      <w:r w:rsidRPr="00F51E3B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F51E3B">
        <w:rPr>
          <w:rFonts w:asciiTheme="minorHAnsi" w:hAnsiTheme="minorHAnsi" w:cstheme="minorHAnsi"/>
        </w:rPr>
        <w:t>Rosinski</w:t>
      </w:r>
      <w:proofErr w:type="spellEnd"/>
      <w:r w:rsidRPr="00F51E3B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F51E3B">
        <w:rPr>
          <w:rFonts w:asciiTheme="minorHAnsi" w:hAnsiTheme="minorHAnsi" w:cstheme="minorHAnsi"/>
        </w:rPr>
        <w:t>USt-IDNr</w:t>
      </w:r>
      <w:proofErr w:type="spellEnd"/>
      <w:r w:rsidRPr="00F51E3B">
        <w:rPr>
          <w:rFonts w:asciiTheme="minorHAnsi" w:hAnsiTheme="minorHAnsi" w:cstheme="minorHAnsi"/>
        </w:rPr>
        <w:t>. DE289111337</w:t>
      </w:r>
      <w:r w:rsidRPr="00F51E3B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C64BEF" w:rsidRPr="00CF4B21" w:rsidRDefault="00C64BEF" w:rsidP="00F51E3B">
      <w:pPr>
        <w:pStyle w:val="intro"/>
        <w:spacing w:line="420" w:lineRule="atLeast"/>
      </w:pPr>
    </w:p>
    <w:sectPr w:rsidR="00C64BEF" w:rsidRPr="00CF4B21" w:rsidSect="003C01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E1" w:rsidRDefault="00D950E1" w:rsidP="003C7394">
      <w:pPr>
        <w:spacing w:after="0" w:line="240" w:lineRule="auto"/>
      </w:pPr>
      <w:r>
        <w:separator/>
      </w:r>
    </w:p>
  </w:endnote>
  <w:endnote w:type="continuationSeparator" w:id="0">
    <w:p w:rsidR="00D950E1" w:rsidRDefault="00D950E1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E1" w:rsidRDefault="00D950E1" w:rsidP="003C7394">
      <w:pPr>
        <w:spacing w:after="0" w:line="240" w:lineRule="auto"/>
      </w:pPr>
      <w:r>
        <w:separator/>
      </w:r>
    </w:p>
  </w:footnote>
  <w:footnote w:type="continuationSeparator" w:id="0">
    <w:p w:rsidR="00D950E1" w:rsidRDefault="00D950E1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F51E3B">
      <w:rPr>
        <w:b/>
        <w:color w:val="FF0000"/>
      </w:rPr>
      <w:t>24</w:t>
    </w:r>
    <w:r w:rsidR="00D11C00">
      <w:rPr>
        <w:b/>
        <w:color w:val="FF0000"/>
      </w:rPr>
      <w:t>.10</w:t>
    </w:r>
    <w:r w:rsidR="003C7394" w:rsidRPr="003C7394">
      <w:rPr>
        <w:b/>
        <w:color w:val="FF0000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11"/>
    <w:multiLevelType w:val="multilevel"/>
    <w:tmpl w:val="A13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335D1"/>
    <w:multiLevelType w:val="multilevel"/>
    <w:tmpl w:val="A56C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D290A"/>
    <w:multiLevelType w:val="multilevel"/>
    <w:tmpl w:val="2CB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05552"/>
    <w:multiLevelType w:val="multilevel"/>
    <w:tmpl w:val="051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7CB0"/>
    <w:multiLevelType w:val="multilevel"/>
    <w:tmpl w:val="69C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B3BBC"/>
    <w:multiLevelType w:val="multilevel"/>
    <w:tmpl w:val="B47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0090B"/>
    <w:multiLevelType w:val="multilevel"/>
    <w:tmpl w:val="5C1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2C08"/>
    <w:multiLevelType w:val="multilevel"/>
    <w:tmpl w:val="E68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40D96"/>
    <w:multiLevelType w:val="multilevel"/>
    <w:tmpl w:val="E98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643DC"/>
    <w:multiLevelType w:val="multilevel"/>
    <w:tmpl w:val="07D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A7E8B"/>
    <w:multiLevelType w:val="multilevel"/>
    <w:tmpl w:val="EFB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96DAF"/>
    <w:multiLevelType w:val="multilevel"/>
    <w:tmpl w:val="1FB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63952"/>
    <w:multiLevelType w:val="multilevel"/>
    <w:tmpl w:val="835C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07960"/>
    <w:multiLevelType w:val="multilevel"/>
    <w:tmpl w:val="726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A548F"/>
    <w:multiLevelType w:val="multilevel"/>
    <w:tmpl w:val="83B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84270D"/>
    <w:multiLevelType w:val="multilevel"/>
    <w:tmpl w:val="893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601FD5"/>
    <w:multiLevelType w:val="multilevel"/>
    <w:tmpl w:val="DBB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796E6C"/>
    <w:multiLevelType w:val="multilevel"/>
    <w:tmpl w:val="F0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E9172B"/>
    <w:multiLevelType w:val="multilevel"/>
    <w:tmpl w:val="101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FE1B3D"/>
    <w:multiLevelType w:val="multilevel"/>
    <w:tmpl w:val="423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9357EB"/>
    <w:multiLevelType w:val="multilevel"/>
    <w:tmpl w:val="19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03265"/>
    <w:multiLevelType w:val="multilevel"/>
    <w:tmpl w:val="F44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184C30"/>
    <w:multiLevelType w:val="multilevel"/>
    <w:tmpl w:val="1A7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C643AE"/>
    <w:multiLevelType w:val="multilevel"/>
    <w:tmpl w:val="710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37378F"/>
    <w:multiLevelType w:val="multilevel"/>
    <w:tmpl w:val="4072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9711A2"/>
    <w:multiLevelType w:val="multilevel"/>
    <w:tmpl w:val="741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DA1A8B"/>
    <w:multiLevelType w:val="multilevel"/>
    <w:tmpl w:val="0E6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4D4BB5"/>
    <w:multiLevelType w:val="multilevel"/>
    <w:tmpl w:val="230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C0A4B"/>
    <w:multiLevelType w:val="multilevel"/>
    <w:tmpl w:val="17A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DA0DAB"/>
    <w:multiLevelType w:val="multilevel"/>
    <w:tmpl w:val="0B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F54695"/>
    <w:multiLevelType w:val="multilevel"/>
    <w:tmpl w:val="FA9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471410"/>
    <w:multiLevelType w:val="multilevel"/>
    <w:tmpl w:val="DCA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2612DF"/>
    <w:multiLevelType w:val="multilevel"/>
    <w:tmpl w:val="322C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7E3353"/>
    <w:multiLevelType w:val="multilevel"/>
    <w:tmpl w:val="470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1A61F1"/>
    <w:multiLevelType w:val="multilevel"/>
    <w:tmpl w:val="4F2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9D28A5"/>
    <w:multiLevelType w:val="multilevel"/>
    <w:tmpl w:val="0FA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BD1959"/>
    <w:multiLevelType w:val="multilevel"/>
    <w:tmpl w:val="2C4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383A2C"/>
    <w:multiLevelType w:val="multilevel"/>
    <w:tmpl w:val="D95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082C44"/>
    <w:multiLevelType w:val="multilevel"/>
    <w:tmpl w:val="D28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B096D"/>
    <w:multiLevelType w:val="multilevel"/>
    <w:tmpl w:val="9696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5729F"/>
    <w:multiLevelType w:val="multilevel"/>
    <w:tmpl w:val="41F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C04B8"/>
    <w:multiLevelType w:val="multilevel"/>
    <w:tmpl w:val="7C3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12E07"/>
    <w:multiLevelType w:val="multilevel"/>
    <w:tmpl w:val="01C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3276F"/>
    <w:multiLevelType w:val="multilevel"/>
    <w:tmpl w:val="0AEA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9B4865"/>
    <w:multiLevelType w:val="multilevel"/>
    <w:tmpl w:val="37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4"/>
  </w:num>
  <w:num w:numId="3">
    <w:abstractNumId w:val="46"/>
  </w:num>
  <w:num w:numId="4">
    <w:abstractNumId w:val="1"/>
  </w:num>
  <w:num w:numId="5">
    <w:abstractNumId w:val="21"/>
  </w:num>
  <w:num w:numId="6">
    <w:abstractNumId w:val="43"/>
  </w:num>
  <w:num w:numId="7">
    <w:abstractNumId w:val="18"/>
  </w:num>
  <w:num w:numId="8">
    <w:abstractNumId w:val="0"/>
  </w:num>
  <w:num w:numId="9">
    <w:abstractNumId w:val="45"/>
  </w:num>
  <w:num w:numId="10">
    <w:abstractNumId w:val="35"/>
  </w:num>
  <w:num w:numId="11">
    <w:abstractNumId w:val="24"/>
  </w:num>
  <w:num w:numId="12">
    <w:abstractNumId w:val="5"/>
  </w:num>
  <w:num w:numId="13">
    <w:abstractNumId w:val="8"/>
  </w:num>
  <w:num w:numId="14">
    <w:abstractNumId w:val="33"/>
  </w:num>
  <w:num w:numId="15">
    <w:abstractNumId w:val="6"/>
  </w:num>
  <w:num w:numId="16">
    <w:abstractNumId w:val="11"/>
  </w:num>
  <w:num w:numId="17">
    <w:abstractNumId w:val="3"/>
  </w:num>
  <w:num w:numId="18">
    <w:abstractNumId w:val="40"/>
  </w:num>
  <w:num w:numId="19">
    <w:abstractNumId w:val="41"/>
  </w:num>
  <w:num w:numId="20">
    <w:abstractNumId w:val="38"/>
  </w:num>
  <w:num w:numId="21">
    <w:abstractNumId w:val="31"/>
  </w:num>
  <w:num w:numId="22">
    <w:abstractNumId w:val="4"/>
  </w:num>
  <w:num w:numId="23">
    <w:abstractNumId w:val="32"/>
  </w:num>
  <w:num w:numId="24">
    <w:abstractNumId w:val="37"/>
  </w:num>
  <w:num w:numId="25">
    <w:abstractNumId w:val="16"/>
  </w:num>
  <w:num w:numId="26">
    <w:abstractNumId w:val="9"/>
  </w:num>
  <w:num w:numId="27">
    <w:abstractNumId w:val="27"/>
  </w:num>
  <w:num w:numId="28">
    <w:abstractNumId w:val="48"/>
  </w:num>
  <w:num w:numId="29">
    <w:abstractNumId w:val="23"/>
  </w:num>
  <w:num w:numId="30">
    <w:abstractNumId w:val="7"/>
  </w:num>
  <w:num w:numId="31">
    <w:abstractNumId w:val="30"/>
  </w:num>
  <w:num w:numId="32">
    <w:abstractNumId w:val="34"/>
  </w:num>
  <w:num w:numId="33">
    <w:abstractNumId w:val="20"/>
  </w:num>
  <w:num w:numId="34">
    <w:abstractNumId w:val="12"/>
  </w:num>
  <w:num w:numId="35">
    <w:abstractNumId w:val="10"/>
  </w:num>
  <w:num w:numId="36">
    <w:abstractNumId w:val="19"/>
  </w:num>
  <w:num w:numId="37">
    <w:abstractNumId w:val="15"/>
  </w:num>
  <w:num w:numId="38">
    <w:abstractNumId w:val="26"/>
  </w:num>
  <w:num w:numId="39">
    <w:abstractNumId w:val="39"/>
  </w:num>
  <w:num w:numId="40">
    <w:abstractNumId w:val="17"/>
  </w:num>
  <w:num w:numId="41">
    <w:abstractNumId w:val="14"/>
  </w:num>
  <w:num w:numId="42">
    <w:abstractNumId w:val="29"/>
  </w:num>
  <w:num w:numId="43">
    <w:abstractNumId w:val="28"/>
  </w:num>
  <w:num w:numId="44">
    <w:abstractNumId w:val="42"/>
  </w:num>
  <w:num w:numId="45">
    <w:abstractNumId w:val="22"/>
  </w:num>
  <w:num w:numId="46">
    <w:abstractNumId w:val="2"/>
  </w:num>
  <w:num w:numId="47">
    <w:abstractNumId w:val="13"/>
  </w:num>
  <w:num w:numId="48">
    <w:abstractNumId w:val="47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31BC5"/>
    <w:rsid w:val="0009308C"/>
    <w:rsid w:val="000E1C21"/>
    <w:rsid w:val="000F650E"/>
    <w:rsid w:val="00106BF0"/>
    <w:rsid w:val="00133802"/>
    <w:rsid w:val="00134B2B"/>
    <w:rsid w:val="00140ECA"/>
    <w:rsid w:val="00146D12"/>
    <w:rsid w:val="00147A98"/>
    <w:rsid w:val="001815BE"/>
    <w:rsid w:val="001B3CBF"/>
    <w:rsid w:val="001D4D90"/>
    <w:rsid w:val="00213222"/>
    <w:rsid w:val="00223C45"/>
    <w:rsid w:val="00246253"/>
    <w:rsid w:val="0029043A"/>
    <w:rsid w:val="002B3466"/>
    <w:rsid w:val="002F34FF"/>
    <w:rsid w:val="00301115"/>
    <w:rsid w:val="00347462"/>
    <w:rsid w:val="0038523D"/>
    <w:rsid w:val="003B72D5"/>
    <w:rsid w:val="003C012F"/>
    <w:rsid w:val="003C4806"/>
    <w:rsid w:val="003C61C2"/>
    <w:rsid w:val="003C7394"/>
    <w:rsid w:val="003F6E3D"/>
    <w:rsid w:val="004420CC"/>
    <w:rsid w:val="004A1722"/>
    <w:rsid w:val="004F7A21"/>
    <w:rsid w:val="00507F04"/>
    <w:rsid w:val="005131B1"/>
    <w:rsid w:val="005D73A6"/>
    <w:rsid w:val="006661FB"/>
    <w:rsid w:val="006738BC"/>
    <w:rsid w:val="00717DF6"/>
    <w:rsid w:val="00744914"/>
    <w:rsid w:val="0077647A"/>
    <w:rsid w:val="0078047B"/>
    <w:rsid w:val="007819A0"/>
    <w:rsid w:val="00781AD7"/>
    <w:rsid w:val="007F2538"/>
    <w:rsid w:val="0080298A"/>
    <w:rsid w:val="008473CA"/>
    <w:rsid w:val="0085416B"/>
    <w:rsid w:val="008B1B34"/>
    <w:rsid w:val="008F222A"/>
    <w:rsid w:val="009300CE"/>
    <w:rsid w:val="009E0381"/>
    <w:rsid w:val="009E283B"/>
    <w:rsid w:val="009F49CF"/>
    <w:rsid w:val="00A21487"/>
    <w:rsid w:val="00A26167"/>
    <w:rsid w:val="00A3227C"/>
    <w:rsid w:val="00AA5502"/>
    <w:rsid w:val="00AC640D"/>
    <w:rsid w:val="00B14957"/>
    <w:rsid w:val="00B95AFB"/>
    <w:rsid w:val="00BD1C82"/>
    <w:rsid w:val="00C3511D"/>
    <w:rsid w:val="00C43539"/>
    <w:rsid w:val="00C46821"/>
    <w:rsid w:val="00C64BEF"/>
    <w:rsid w:val="00C769C9"/>
    <w:rsid w:val="00C94EB0"/>
    <w:rsid w:val="00CD2967"/>
    <w:rsid w:val="00CE2A2E"/>
    <w:rsid w:val="00CF4B21"/>
    <w:rsid w:val="00D11C00"/>
    <w:rsid w:val="00D16C64"/>
    <w:rsid w:val="00D452E1"/>
    <w:rsid w:val="00D533B7"/>
    <w:rsid w:val="00D80177"/>
    <w:rsid w:val="00D950E1"/>
    <w:rsid w:val="00DB1753"/>
    <w:rsid w:val="00E15FE9"/>
    <w:rsid w:val="00E37CA9"/>
    <w:rsid w:val="00E73B21"/>
    <w:rsid w:val="00E82887"/>
    <w:rsid w:val="00F0788C"/>
    <w:rsid w:val="00F152BC"/>
    <w:rsid w:val="00F51E3B"/>
    <w:rsid w:val="00FA72A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4600761/9804e1394-1fp7nt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letter.luebecker-bucht-ostsee.de/c/34600747/9804e1394-1fp7nt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osinski@luebecker-bucht-ostse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4600762/9804e1394-1fp7nt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2020-10-24T11:07:00Z</dcterms:created>
  <dcterms:modified xsi:type="dcterms:W3CDTF">2020-10-24T11:07:00Z</dcterms:modified>
</cp:coreProperties>
</file>